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Our Lady of the Lake Regional School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Safety Drill Dates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2022-23 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Fire Drill</w:t>
      </w:r>
      <w:r w:rsidDel="00000000" w:rsidR="00000000" w:rsidRPr="00000000">
        <w:rPr>
          <w:sz w:val="28"/>
          <w:szCs w:val="28"/>
          <w:rtl w:val="0"/>
        </w:rPr>
        <w:t xml:space="preserve"> – Five drills per school year. Three of which need to take place by Dec. 1.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Wednesday, September 21, 2022 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Thursday, Oct 6, 2022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Tuesday, November 2, 2022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Thursday, March 16, 2023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Monday, May 8, 2023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Tornado Drill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sz w:val="28"/>
          <w:szCs w:val="28"/>
          <w:rtl w:val="0"/>
        </w:rPr>
        <w:t xml:space="preserve">Two drills per school year with at least one in March.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Tuesday, September 27, 2022 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Monday, February 27, 2023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Lock Down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sz w:val="28"/>
          <w:szCs w:val="28"/>
          <w:rtl w:val="0"/>
        </w:rPr>
        <w:t xml:space="preserve">Three lockdown drills per school year, including security measures appropriate to an emergency.  At least one drill must take place by Dec. 1, and at least one after Jan. 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. One must be at passing time.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Tuesday, October 18, 2022 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Friday, November 18, 2022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Thursday, February 23, 2023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